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ИНФОРМАЦИЯ</w:t>
      </w:r>
    </w:p>
    <w:p w14:paraId="02000000">
      <w:pPr>
        <w:pStyle w:val="Style_1"/>
        <w:rPr>
          <w:rFonts w:ascii="Times New Roman" w:hAnsi="Times New Roman"/>
          <w:b w:val="1"/>
        </w:rPr>
      </w:pPr>
    </w:p>
    <w:p w14:paraId="03000000">
      <w:pPr>
        <w:pStyle w:val="Style_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«Прокурор разъясняет»</w:t>
      </w:r>
    </w:p>
    <w:p w14:paraId="04000000">
      <w:pPr>
        <w:pStyle w:val="Style_1"/>
        <w:rPr>
          <w:rFonts w:ascii="Times New Roman" w:hAnsi="Times New Roman"/>
        </w:rPr>
      </w:pPr>
    </w:p>
    <w:p w14:paraId="05000000">
      <w:pPr>
        <w:pStyle w:val="Style_1"/>
        <w:rPr>
          <w:rFonts w:ascii="Times New Roman" w:hAnsi="Times New Roman"/>
        </w:rPr>
      </w:pPr>
    </w:p>
    <w:p w14:paraId="06000000">
      <w:pPr>
        <w:pStyle w:val="Style_1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1 сентября 2025 года вступает в силу и действует до 1 сентября 2031 года </w:t>
      </w:r>
      <w:r>
        <w:rPr>
          <w:rFonts w:ascii="Times New Roman" w:hAnsi="Times New Roman"/>
        </w:rPr>
        <w:t>Приказ Минздрава России от 30.04.2025 № 268н «Об утверждении Порядка оказания медицинской помощи несовершеннолетним в период оздоровления и организованного отдыха».</w:t>
      </w:r>
    </w:p>
    <w:p w14:paraId="07000000">
      <w:pPr>
        <w:pStyle w:val="Style_1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Порядок устанавливает правила оказания медицинской помощи несовершеннолетним в период оздоровления и организованного отдыха в организациях отдыха детей и их оздоровления, имеющих лицензию на осуществление медицинской деятельности.</w:t>
      </w:r>
    </w:p>
    <w:p w14:paraId="08000000">
      <w:pPr>
        <w:pStyle w:val="Style_1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Некоторые изменения, введенные приказом:</w:t>
      </w:r>
    </w:p>
    <w:p w14:paraId="09000000">
      <w:pPr>
        <w:pStyle w:val="Style_1"/>
        <w:numPr>
          <w:numId w:val="1"/>
        </w:numPr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организациям отдыха детей и их оздоровления введена обязанность лицензировать медицинскую деятельность</w:t>
      </w:r>
      <w:r>
        <w:rPr>
          <w:rFonts w:ascii="Times New Roman" w:hAnsi="Times New Roman"/>
          <w:color w:val="000000"/>
          <w:sz w:val="28"/>
        </w:rPr>
        <w:t>, если в штате есть медработники. Исключение составляют детские лагеря палаточного типа с численностью несовершеннолетних менее 100 человек и детские лагеря, организованные образовательными организациями</w:t>
      </w:r>
      <w:r>
        <w:rPr>
          <w:rFonts w:ascii="Times New Roman" w:hAnsi="Times New Roman"/>
          <w:sz w:val="28"/>
        </w:rPr>
        <w:t>;</w:t>
      </w:r>
    </w:p>
    <w:p w14:paraId="0A000000">
      <w:pPr>
        <w:pStyle w:val="Style_1"/>
        <w:numPr>
          <w:numId w:val="1"/>
        </w:numPr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детям с хроническими заболеваниями разрешено использовать личные медицинские изделия </w:t>
      </w:r>
      <w:r>
        <w:rPr>
          <w:rFonts w:ascii="Times New Roman" w:hAnsi="Times New Roman"/>
          <w:color w:val="000000"/>
          <w:sz w:val="28"/>
        </w:rPr>
        <w:t>(например, глюкометры детям с сахарным диабетом, речевые процессоры детям с нарушением слуха) </w:t>
      </w:r>
      <w:r>
        <w:rPr>
          <w:rFonts w:ascii="Times New Roman" w:hAnsi="Times New Roman"/>
          <w:b w:val="1"/>
          <w:color w:val="000000"/>
          <w:sz w:val="28"/>
        </w:rPr>
        <w:t xml:space="preserve">под контролем медицинских работников </w:t>
      </w:r>
      <w:r>
        <w:rPr>
          <w:rFonts w:ascii="Times New Roman" w:hAnsi="Times New Roman"/>
          <w:color w:val="000000"/>
          <w:sz w:val="28"/>
        </w:rPr>
        <w:t>медицинского пункта детского лагеря</w:t>
      </w:r>
      <w:r>
        <w:rPr>
          <w:rFonts w:ascii="Times New Roman" w:hAnsi="Times New Roman"/>
          <w:sz w:val="28"/>
        </w:rPr>
        <w:t>;</w:t>
      </w:r>
    </w:p>
    <w:p w14:paraId="0B000000">
      <w:pPr>
        <w:pStyle w:val="Style_1"/>
        <w:numPr>
          <w:numId w:val="1"/>
        </w:numPr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актуализирован стандарт оснащения </w:t>
      </w:r>
      <w:r>
        <w:rPr>
          <w:rFonts w:ascii="Times New Roman" w:hAnsi="Times New Roman"/>
          <w:color w:val="000000"/>
          <w:sz w:val="28"/>
        </w:rPr>
        <w:t>медицинского пункта и перечень лекарственных препаратов для медицинского применения</w:t>
      </w:r>
      <w:r>
        <w:rPr>
          <w:rFonts w:ascii="Times New Roman" w:hAnsi="Times New Roman"/>
          <w:sz w:val="28"/>
        </w:rPr>
        <w:t>;</w:t>
      </w:r>
    </w:p>
    <w:p w14:paraId="0C000000">
      <w:pPr>
        <w:pStyle w:val="Style_1"/>
        <w:numPr>
          <w:numId w:val="1"/>
        </w:numPr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расширен перечень должностей медицинских работников</w:t>
      </w:r>
      <w:r>
        <w:rPr>
          <w:rFonts w:ascii="Times New Roman" w:hAnsi="Times New Roman"/>
          <w:color w:val="000000"/>
          <w:sz w:val="28"/>
        </w:rPr>
        <w:t>. На должность врача может быть принят врач-педиатр или врач общей практики (семейный врач) или фельдшер (в случае возложения обязанностей врача)</w:t>
      </w:r>
      <w:r>
        <w:rPr>
          <w:rFonts w:ascii="Times New Roman" w:hAnsi="Times New Roman"/>
          <w:sz w:val="28"/>
        </w:rPr>
        <w:t>;</w:t>
      </w:r>
    </w:p>
    <w:p w14:paraId="0D000000">
      <w:pPr>
        <w:pStyle w:val="Style_1"/>
        <w:numPr>
          <w:numId w:val="1"/>
        </w:numPr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актуализировано положение об оказании первой помощи</w:t>
      </w:r>
      <w:r>
        <w:rPr>
          <w:rFonts w:ascii="Times New Roman" w:hAnsi="Times New Roman"/>
          <w:color w:val="000000"/>
          <w:sz w:val="28"/>
        </w:rPr>
        <w:t xml:space="preserve"> в детских лагерях. Детские лагеря должны обеспечивать укомплектованность аптечки для оказания первой помощи пострадавшим с применением медицинских изделий (для организаций, не осуществляющих образовательную деятельность) или аптечки для оказания первой помощи с применением медицинских изделий в организациях, осуществляющих образовательную деятельность.</w:t>
      </w:r>
    </w:p>
    <w:p w14:paraId="0E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</w:rPr>
      </w:pPr>
    </w:p>
    <w:p w14:paraId="0F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</w:rPr>
      </w:pPr>
    </w:p>
    <w:p w14:paraId="10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</w:rPr>
      </w:pPr>
    </w:p>
    <w:p w14:paraId="11000000">
      <w:pPr>
        <w:pStyle w:val="Style_1"/>
        <w:ind w:firstLine="567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2025-06-19T09:52:30Z</dcterms:modified>
</cp:coreProperties>
</file>